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09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1530"/>
        <w:gridCol w:w="1130"/>
        <w:gridCol w:w="1276"/>
        <w:gridCol w:w="1273"/>
        <w:gridCol w:w="1721"/>
        <w:gridCol w:w="979"/>
        <w:gridCol w:w="1555"/>
        <w:gridCol w:w="1145"/>
      </w:tblGrid>
      <w:tr w:rsidR="00E81108" w:rsidRPr="004424CF" w14:paraId="4E3EF580" w14:textId="77777777" w:rsidTr="00EC72EA">
        <w:trPr>
          <w:trHeight w:val="418"/>
        </w:trPr>
        <w:tc>
          <w:tcPr>
            <w:tcW w:w="1060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C10D8" w14:textId="1AE06473" w:rsidR="00E81108" w:rsidRPr="004424CF" w:rsidRDefault="00BC5F62" w:rsidP="00BC5F62">
            <w:pPr>
              <w:ind w:right="457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szCs w:val="18"/>
                <w:shd w:val="solid" w:color="FFFFFF" w:fill="FFFFFF"/>
              </w:rPr>
            </w:pPr>
            <w:r>
              <w:rPr>
                <w:rFonts w:ascii="Arial" w:hAnsi="Arial"/>
                <w:b/>
                <w:color w:val="000000"/>
                <w:shd w:val="solid" w:color="FFFFFF" w:fill="FFFFFF"/>
              </w:rPr>
              <w:t xml:space="preserve">Final Examination </w:t>
            </w:r>
            <w:r w:rsidR="00020243">
              <w:rPr>
                <w:rFonts w:ascii="Arial" w:hAnsi="Arial"/>
                <w:b/>
                <w:color w:val="000000"/>
                <w:shd w:val="solid" w:color="FFFFFF" w:fill="FFFFFF"/>
              </w:rPr>
              <w:t>O</w:t>
            </w:r>
            <w:r>
              <w:rPr>
                <w:rFonts w:ascii="Arial" w:hAnsi="Arial"/>
                <w:b/>
                <w:color w:val="000000"/>
                <w:shd w:val="solid" w:color="FFFFFF" w:fill="FFFFFF"/>
              </w:rPr>
              <w:t xml:space="preserve">verview – </w:t>
            </w:r>
            <w:r w:rsidR="00DC0302">
              <w:rPr>
                <w:rFonts w:ascii="Arial" w:hAnsi="Arial"/>
                <w:b/>
                <w:color w:val="000000"/>
                <w:shd w:val="solid" w:color="FFFFFF" w:fill="FFFFFF"/>
              </w:rPr>
              <w:t xml:space="preserve">ICATT </w:t>
            </w:r>
            <w:r>
              <w:rPr>
                <w:rFonts w:ascii="Arial" w:hAnsi="Arial"/>
                <w:b/>
                <w:color w:val="000000"/>
                <w:shd w:val="solid" w:color="FFFFFF" w:fill="FFFFFF"/>
              </w:rPr>
              <w:t>Advanced Manufacturing Technician</w:t>
            </w:r>
          </w:p>
        </w:tc>
      </w:tr>
      <w:tr w:rsidR="00E81108" w:rsidRPr="004424CF" w14:paraId="5041F092" w14:textId="77777777" w:rsidTr="00EC72EA">
        <w:trPr>
          <w:trHeight w:val="835"/>
        </w:trPr>
        <w:tc>
          <w:tcPr>
            <w:tcW w:w="52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05D10D5" w14:textId="77777777" w:rsidR="00E81108" w:rsidRPr="00F56077" w:rsidRDefault="00E81108" w:rsidP="004D067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6077">
              <w:rPr>
                <w:rFonts w:ascii="Arial" w:hAnsi="Arial"/>
                <w:b/>
                <w:sz w:val="20"/>
              </w:rPr>
              <w:t>Final examination: Part 1</w:t>
            </w:r>
          </w:p>
          <w:p w14:paraId="6D5B9358" w14:textId="77777777" w:rsidR="00E81108" w:rsidRPr="004424CF" w:rsidRDefault="00E81108" w:rsidP="004D067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287">
              <w:rPr>
                <w:rFonts w:ascii="Arial" w:hAnsi="Arial"/>
                <w:b/>
                <w:sz w:val="20"/>
              </w:rPr>
              <w:t>Weighting: 40 %</w:t>
            </w:r>
          </w:p>
        </w:tc>
        <w:tc>
          <w:tcPr>
            <w:tcW w:w="54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D307A3F" w14:textId="77777777" w:rsidR="00E81108" w:rsidRPr="00F56077" w:rsidRDefault="00E81108" w:rsidP="004D067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6077">
              <w:rPr>
                <w:rFonts w:ascii="Arial" w:hAnsi="Arial"/>
                <w:b/>
                <w:sz w:val="20"/>
              </w:rPr>
              <w:t xml:space="preserve">Final examination: Part 2 </w:t>
            </w:r>
          </w:p>
          <w:p w14:paraId="77CEB6A6" w14:textId="77777777" w:rsidR="00E81108" w:rsidRPr="004424CF" w:rsidRDefault="00E81108" w:rsidP="004D067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287">
              <w:rPr>
                <w:rFonts w:ascii="Arial" w:hAnsi="Arial"/>
                <w:b/>
                <w:sz w:val="20"/>
              </w:rPr>
              <w:t>Weighting: 60 %</w:t>
            </w:r>
          </w:p>
        </w:tc>
      </w:tr>
      <w:tr w:rsidR="00E81108" w:rsidRPr="004424CF" w14:paraId="5C46E850" w14:textId="77777777" w:rsidTr="00EC72EA">
        <w:trPr>
          <w:trHeight w:val="420"/>
        </w:trPr>
        <w:tc>
          <w:tcPr>
            <w:tcW w:w="520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CB6EB08" w14:textId="77777777" w:rsidR="00E81108" w:rsidRPr="00250287" w:rsidRDefault="00F56077" w:rsidP="004D067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50287">
              <w:rPr>
                <w:rFonts w:ascii="Arial" w:hAnsi="Arial"/>
                <w:sz w:val="20"/>
                <w:u w:val="single"/>
              </w:rPr>
              <w:t>Areas of examination</w:t>
            </w:r>
          </w:p>
        </w:tc>
        <w:tc>
          <w:tcPr>
            <w:tcW w:w="54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634B26" w14:textId="77777777" w:rsidR="00E81108" w:rsidRPr="00250287" w:rsidRDefault="00E81108" w:rsidP="004D067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50287">
              <w:rPr>
                <w:rFonts w:ascii="Arial" w:hAnsi="Arial"/>
                <w:sz w:val="20"/>
                <w:u w:val="single"/>
              </w:rPr>
              <w:t>Areas of examination</w:t>
            </w:r>
          </w:p>
        </w:tc>
      </w:tr>
      <w:tr w:rsidR="00E81108" w:rsidRPr="00413EA7" w14:paraId="5627B67E" w14:textId="77777777" w:rsidTr="00EC72EA">
        <w:tc>
          <w:tcPr>
            <w:tcW w:w="26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 w:themeFill="accent1" w:themeFillTint="33"/>
          </w:tcPr>
          <w:p w14:paraId="274B3A67" w14:textId="77777777" w:rsidR="00E81108" w:rsidRPr="00F56077" w:rsidRDefault="00F56077" w:rsidP="00F560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077">
              <w:rPr>
                <w:rFonts w:ascii="Arial" w:hAnsi="Arial"/>
                <w:b/>
                <w:sz w:val="18"/>
              </w:rPr>
              <w:t>Practical t</w:t>
            </w:r>
            <w:r w:rsidR="00E81108" w:rsidRPr="00F56077">
              <w:rPr>
                <w:rFonts w:ascii="Arial" w:hAnsi="Arial"/>
                <w:b/>
                <w:sz w:val="18"/>
              </w:rPr>
              <w:t>ask with professional, situation-based discussions</w:t>
            </w:r>
          </w:p>
          <w:p w14:paraId="0C0C4621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 w:themeFill="accent1" w:themeFillTint="33"/>
          </w:tcPr>
          <w:p w14:paraId="4DEB291E" w14:textId="77777777" w:rsidR="00E81108" w:rsidRPr="00F56077" w:rsidRDefault="00F56077" w:rsidP="00F560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077">
              <w:rPr>
                <w:rFonts w:ascii="Arial" w:hAnsi="Arial"/>
                <w:b/>
                <w:sz w:val="18"/>
              </w:rPr>
              <w:t>Written examination</w:t>
            </w:r>
          </w:p>
          <w:p w14:paraId="51954887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1D8989BA" w14:textId="77777777" w:rsidR="00740ABF" w:rsidRPr="00F56077" w:rsidRDefault="00740ABF" w:rsidP="00740A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077">
              <w:rPr>
                <w:rFonts w:ascii="Arial" w:hAnsi="Arial"/>
                <w:b/>
                <w:sz w:val="18"/>
              </w:rPr>
              <w:t>Practical task with professional, situation-based discussions</w:t>
            </w:r>
          </w:p>
          <w:p w14:paraId="5B351F86" w14:textId="5550F310" w:rsidR="00E81108" w:rsidRPr="00F56077" w:rsidRDefault="00E81108" w:rsidP="00F560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2007357E" w14:textId="77777777" w:rsidR="00F56077" w:rsidRPr="00F56077" w:rsidRDefault="00F56077" w:rsidP="00F56077">
            <w:pPr>
              <w:jc w:val="center"/>
              <w:rPr>
                <w:rFonts w:ascii="Arial" w:hAnsi="Arial"/>
                <w:b/>
                <w:sz w:val="18"/>
              </w:rPr>
            </w:pPr>
            <w:r w:rsidRPr="00F56077">
              <w:rPr>
                <w:rFonts w:ascii="Arial" w:hAnsi="Arial"/>
                <w:b/>
                <w:sz w:val="18"/>
              </w:rPr>
              <w:t>Written examination</w:t>
            </w:r>
          </w:p>
          <w:p w14:paraId="4F9BE622" w14:textId="77777777" w:rsidR="00F56077" w:rsidRDefault="00F56077" w:rsidP="00F56077">
            <w:pPr>
              <w:rPr>
                <w:rFonts w:ascii="Arial" w:hAnsi="Arial"/>
                <w:sz w:val="18"/>
              </w:rPr>
            </w:pPr>
          </w:p>
          <w:p w14:paraId="2AD88B82" w14:textId="7FE0B4ED" w:rsidR="00E81108" w:rsidRPr="00F56077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 w:rsidRPr="00F56077">
              <w:rPr>
                <w:rFonts w:ascii="Arial" w:hAnsi="Arial"/>
                <w:sz w:val="18"/>
              </w:rPr>
              <w:t xml:space="preserve">– </w:t>
            </w:r>
            <w:r w:rsidR="00DC0302">
              <w:rPr>
                <w:rFonts w:ascii="Arial" w:hAnsi="Arial"/>
                <w:sz w:val="18"/>
              </w:rPr>
              <w:t>Production Technology</w:t>
            </w:r>
          </w:p>
          <w:p w14:paraId="506CB5F2" w14:textId="1B671A85" w:rsidR="00E81108" w:rsidRPr="00F56077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 w:rsidRPr="00F56077">
              <w:rPr>
                <w:rFonts w:ascii="Arial" w:hAnsi="Arial"/>
                <w:sz w:val="18"/>
              </w:rPr>
              <w:t xml:space="preserve">– </w:t>
            </w:r>
            <w:r w:rsidR="00DC0302">
              <w:rPr>
                <w:rFonts w:ascii="Arial" w:hAnsi="Arial"/>
                <w:sz w:val="18"/>
              </w:rPr>
              <w:t xml:space="preserve">Task and </w:t>
            </w:r>
            <w:r w:rsidRPr="00F56077">
              <w:rPr>
                <w:rFonts w:ascii="Arial" w:hAnsi="Arial"/>
                <w:sz w:val="18"/>
              </w:rPr>
              <w:t>Functional analysis</w:t>
            </w:r>
          </w:p>
          <w:p w14:paraId="758CD5D5" w14:textId="23D1DCF4" w:rsidR="00E81108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 w:rsidRPr="00F56077">
              <w:rPr>
                <w:rFonts w:ascii="Arial" w:hAnsi="Arial"/>
                <w:sz w:val="18"/>
              </w:rPr>
              <w:t xml:space="preserve">– </w:t>
            </w:r>
            <w:r w:rsidR="00740ABF">
              <w:rPr>
                <w:rFonts w:ascii="Arial" w:hAnsi="Arial"/>
                <w:sz w:val="18"/>
              </w:rPr>
              <w:t>OSHA and Workers Rights</w:t>
            </w:r>
          </w:p>
          <w:p w14:paraId="36F4532D" w14:textId="77777777" w:rsidR="00F56077" w:rsidRPr="00F56077" w:rsidRDefault="00F56077" w:rsidP="00F56077">
            <w:pPr>
              <w:rPr>
                <w:rFonts w:ascii="Arial" w:hAnsi="Arial"/>
                <w:sz w:val="18"/>
              </w:rPr>
            </w:pPr>
          </w:p>
        </w:tc>
      </w:tr>
      <w:tr w:rsidR="00250287" w:rsidRPr="004424CF" w14:paraId="6B1B2872" w14:textId="77777777" w:rsidTr="00757999">
        <w:trPr>
          <w:trHeight w:val="387"/>
        </w:trPr>
        <w:tc>
          <w:tcPr>
            <w:tcW w:w="1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C90F51C" w14:textId="77777777" w:rsidR="00E81108" w:rsidRPr="00F56077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181E3E" w14:textId="77777777" w:rsidR="00E81108" w:rsidRPr="00F56077" w:rsidRDefault="00E81108" w:rsidP="00F56077">
            <w:pPr>
              <w:spacing w:line="36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50 %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84D2004" w14:textId="77777777" w:rsidR="00E81108" w:rsidRPr="00F56077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1D21E14" w14:textId="77777777" w:rsidR="00E81108" w:rsidRPr="00F56077" w:rsidRDefault="00E81108" w:rsidP="00F56077">
            <w:pPr>
              <w:spacing w:line="36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50 %</w:t>
            </w:r>
          </w:p>
        </w:tc>
        <w:tc>
          <w:tcPr>
            <w:tcW w:w="17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4D8E34C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F94A22B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50 %</w:t>
            </w: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41E1100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07F34D8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50 %</w:t>
            </w:r>
          </w:p>
        </w:tc>
      </w:tr>
      <w:tr w:rsidR="00250287" w:rsidRPr="004424CF" w14:paraId="5671B254" w14:textId="77777777" w:rsidTr="00757999">
        <w:trPr>
          <w:trHeight w:val="407"/>
        </w:trPr>
        <w:tc>
          <w:tcPr>
            <w:tcW w:w="1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BEB7F6C" w14:textId="38483898" w:rsidR="00F56077" w:rsidRDefault="00E81108" w:rsidP="00F560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r w:rsidR="007938CF">
              <w:rPr>
                <w:rFonts w:ascii="Arial" w:hAnsi="Arial"/>
                <w:sz w:val="18"/>
              </w:rPr>
              <w:t>otal t</w:t>
            </w:r>
            <w:r>
              <w:rPr>
                <w:rFonts w:ascii="Arial" w:hAnsi="Arial"/>
                <w:sz w:val="18"/>
              </w:rPr>
              <w:t xml:space="preserve">ime </w:t>
            </w:r>
          </w:p>
          <w:p w14:paraId="64841C30" w14:textId="77777777" w:rsidR="00E81108" w:rsidRPr="00F56077" w:rsidRDefault="00E81108" w:rsidP="00F560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permitted: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B3A41FE" w14:textId="77777777" w:rsidR="00F56077" w:rsidRDefault="00F56077" w:rsidP="00F56077">
            <w:pPr>
              <w:spacing w:line="360" w:lineRule="auto"/>
              <w:ind w:right="-11"/>
              <w:rPr>
                <w:rFonts w:ascii="Arial" w:hAnsi="Arial"/>
                <w:sz w:val="18"/>
              </w:rPr>
            </w:pPr>
          </w:p>
          <w:p w14:paraId="45027DF9" w14:textId="24DDDAF9" w:rsidR="00E81108" w:rsidRPr="00F56077" w:rsidRDefault="00F56077" w:rsidP="00F56077">
            <w:pPr>
              <w:spacing w:line="360" w:lineRule="auto"/>
              <w:ind w:right="-1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8A2A67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 xml:space="preserve"> h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BA784FD" w14:textId="77777777" w:rsidR="00E81108" w:rsidRPr="00F56077" w:rsidRDefault="00F56077" w:rsidP="00F560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Time </w:t>
            </w:r>
            <w:r w:rsidR="00E81108">
              <w:rPr>
                <w:rFonts w:ascii="Arial" w:hAnsi="Arial"/>
                <w:sz w:val="18"/>
              </w:rPr>
              <w:t>permitted: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4A594FC" w14:textId="77777777" w:rsidR="00F56077" w:rsidRDefault="00F56077" w:rsidP="00F56077">
            <w:pPr>
              <w:spacing w:line="360" w:lineRule="auto"/>
              <w:ind w:left="-108" w:right="-11"/>
              <w:jc w:val="right"/>
              <w:rPr>
                <w:rFonts w:ascii="Arial" w:hAnsi="Arial"/>
                <w:sz w:val="18"/>
              </w:rPr>
            </w:pPr>
          </w:p>
          <w:p w14:paraId="4F514E6E" w14:textId="77777777" w:rsidR="00E81108" w:rsidRPr="00F56077" w:rsidRDefault="00E81108" w:rsidP="00F56077">
            <w:pPr>
              <w:spacing w:line="360" w:lineRule="auto"/>
              <w:ind w:left="-108" w:right="-11"/>
              <w:jc w:val="right"/>
              <w:rPr>
                <w:rFonts w:ascii="Arial" w:hAnsi="Arial"/>
                <w:sz w:val="18"/>
              </w:rPr>
            </w:pPr>
            <w:r w:rsidRPr="00F56077">
              <w:rPr>
                <w:rFonts w:ascii="Arial" w:hAnsi="Arial"/>
                <w:sz w:val="18"/>
              </w:rPr>
              <w:t>1 h 30 min</w:t>
            </w:r>
          </w:p>
        </w:tc>
        <w:tc>
          <w:tcPr>
            <w:tcW w:w="17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D3AA55A" w14:textId="4F5D0A8D" w:rsidR="00E81108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Total time</w:t>
            </w:r>
            <w:r w:rsidR="00E8110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E67444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14 h</w:t>
            </w: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D07373C" w14:textId="300E4718" w:rsidR="00E81108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Total time permitted</w:t>
            </w:r>
            <w:r w:rsidR="00E8110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8DECD2B" w14:textId="3C602702" w:rsidR="00E81108" w:rsidRPr="004424CF" w:rsidRDefault="00E81108" w:rsidP="004D067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4 h </w:t>
            </w:r>
            <w:r w:rsidR="00516DE1">
              <w:rPr>
                <w:rFonts w:ascii="Arial" w:hAnsi="Arial"/>
                <w:sz w:val="17"/>
              </w:rPr>
              <w:t>15</w:t>
            </w:r>
            <w:r>
              <w:rPr>
                <w:rFonts w:ascii="Arial" w:hAnsi="Arial"/>
                <w:sz w:val="17"/>
              </w:rPr>
              <w:t xml:space="preserve"> min</w:t>
            </w:r>
          </w:p>
        </w:tc>
      </w:tr>
      <w:tr w:rsidR="007938CF" w:rsidRPr="004424CF" w14:paraId="64509B85" w14:textId="77777777" w:rsidTr="00757999">
        <w:trPr>
          <w:trHeight w:val="352"/>
        </w:trPr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2D313D6" w14:textId="77777777" w:rsidR="007938CF" w:rsidRDefault="007938CF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– Planning*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56ACD1FB" w14:textId="77777777" w:rsidR="007938CF" w:rsidRDefault="007938CF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  <w:p w14:paraId="20B09337" w14:textId="75916433" w:rsidR="007938CF" w:rsidRDefault="00757999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Permitted </w:t>
            </w:r>
            <w:r w:rsidR="007938CF">
              <w:rPr>
                <w:rFonts w:ascii="Arial" w:hAnsi="Arial"/>
                <w:sz w:val="18"/>
              </w:rPr>
              <w:t>Conversion time:</w:t>
            </w:r>
          </w:p>
          <w:p w14:paraId="3F0070D6" w14:textId="5F3CC88B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EF595BD" w14:textId="77777777" w:rsidR="007938CF" w:rsidRDefault="007938CF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4DBE832A" w14:textId="310C6C50" w:rsidR="007938CF" w:rsidRDefault="007938CF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 min</w:t>
            </w:r>
          </w:p>
          <w:p w14:paraId="44A40FE8" w14:textId="19FDC917" w:rsidR="007938CF" w:rsidRDefault="007938CF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4C3F7264" w14:textId="6E2648AA" w:rsidR="007938CF" w:rsidRPr="004424CF" w:rsidRDefault="007938CF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9143DC5" w14:textId="77777777" w:rsidR="007938CF" w:rsidRDefault="007938CF" w:rsidP="004D0670">
            <w:pPr>
              <w:rPr>
                <w:rFonts w:ascii="Arial" w:hAnsi="Arial"/>
                <w:b/>
                <w:sz w:val="18"/>
              </w:rPr>
            </w:pPr>
          </w:p>
          <w:p w14:paraId="5892876E" w14:textId="77777777" w:rsidR="007938CF" w:rsidRPr="004424CF" w:rsidRDefault="007938CF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Part A (50%):</w:t>
            </w:r>
          </w:p>
          <w:p w14:paraId="08627123" w14:textId="5DC6A660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23 multiple choice questions</w:t>
            </w:r>
          </w:p>
          <w:p w14:paraId="439B0DF4" w14:textId="15B8D938" w:rsidR="007938CF" w:rsidRDefault="007938CF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 of which can be deselected</w:t>
            </w:r>
          </w:p>
          <w:p w14:paraId="6F71FAE7" w14:textId="0E65E8D3" w:rsidR="00757999" w:rsidRPr="004424CF" w:rsidRDefault="00757999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6 of which </w:t>
            </w:r>
            <w:r w:rsidR="001B07BB">
              <w:rPr>
                <w:rFonts w:ascii="Arial" w:hAnsi="Arial"/>
                <w:sz w:val="18"/>
              </w:rPr>
              <w:t>cannot be des</w:t>
            </w:r>
            <w:r w:rsidR="00516DE1">
              <w:rPr>
                <w:rFonts w:ascii="Arial" w:hAnsi="Arial"/>
                <w:sz w:val="18"/>
              </w:rPr>
              <w:t>e</w:t>
            </w:r>
            <w:r w:rsidR="001B07BB">
              <w:rPr>
                <w:rFonts w:ascii="Arial" w:hAnsi="Arial"/>
                <w:sz w:val="18"/>
              </w:rPr>
              <w:t>lected</w:t>
            </w:r>
          </w:p>
          <w:p w14:paraId="2E7312FF" w14:textId="77777777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AC93CF" w14:textId="77777777" w:rsidR="007938CF" w:rsidRPr="004424CF" w:rsidRDefault="007938CF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Part B (50%):</w:t>
            </w:r>
          </w:p>
          <w:p w14:paraId="6AAF3780" w14:textId="5F0CA906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 short answer questions</w:t>
            </w:r>
          </w:p>
          <w:p w14:paraId="5EF11864" w14:textId="77777777" w:rsidR="007938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 deselection possible</w:t>
            </w:r>
          </w:p>
          <w:p w14:paraId="6241ADEF" w14:textId="77777777" w:rsidR="007938CF" w:rsidRPr="00F56077" w:rsidRDefault="007938CF" w:rsidP="00F560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AA276" w14:textId="77777777" w:rsidR="007938CF" w:rsidRPr="00F56077" w:rsidRDefault="007938CF" w:rsidP="00F560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F74D46" w14:textId="77777777" w:rsidR="007938CF" w:rsidRPr="00F56077" w:rsidRDefault="007938CF" w:rsidP="00F560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C706A" w14:textId="77777777" w:rsidR="007938CF" w:rsidRDefault="007938CF" w:rsidP="00F560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516143" w14:textId="77777777" w:rsidR="007938CF" w:rsidRPr="00F56077" w:rsidRDefault="007938CF" w:rsidP="00F56077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2EFD9" w:themeFill="accent6" w:themeFillTint="33"/>
          </w:tcPr>
          <w:p w14:paraId="6E0CF724" w14:textId="77777777" w:rsidR="007938CF" w:rsidRDefault="007938CF" w:rsidP="004D0670">
            <w:pPr>
              <w:rPr>
                <w:rFonts w:ascii="Arial" w:hAnsi="Arial"/>
                <w:b/>
                <w:sz w:val="18"/>
              </w:rPr>
            </w:pPr>
          </w:p>
          <w:p w14:paraId="02721BF0" w14:textId="769A1EC0" w:rsidR="007938CF" w:rsidRPr="004424CF" w:rsidRDefault="007938CF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Preparation for the practical task</w:t>
            </w:r>
            <w:r w:rsidR="00DC0302">
              <w:rPr>
                <w:rFonts w:ascii="Arial" w:hAnsi="Arial"/>
                <w:b/>
                <w:sz w:val="18"/>
              </w:rPr>
              <w:t xml:space="preserve"> Phase 1</w:t>
            </w:r>
          </w:p>
          <w:p w14:paraId="7C026855" w14:textId="7B1C4D80" w:rsidR="007938CF" w:rsidRDefault="007938CF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 allotted:</w:t>
            </w:r>
          </w:p>
          <w:p w14:paraId="6EA68367" w14:textId="6F49C473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0BEFA0" w14:textId="77777777" w:rsidR="007938CF" w:rsidRDefault="007938CF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03A4770D" w14:textId="77777777" w:rsidR="007938CF" w:rsidRDefault="007938CF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2BBCA213" w14:textId="77777777" w:rsidR="007938CF" w:rsidRDefault="007938CF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3C156D1C" w14:textId="5777D895" w:rsidR="007938CF" w:rsidRDefault="007938CF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 h </w:t>
            </w:r>
          </w:p>
          <w:p w14:paraId="35F47237" w14:textId="656DB068" w:rsidR="007938CF" w:rsidRPr="004424CF" w:rsidRDefault="007938CF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 company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77C2E191" w14:textId="77777777" w:rsidR="007938CF" w:rsidRDefault="007938CF" w:rsidP="004D0670">
            <w:pPr>
              <w:rPr>
                <w:rFonts w:ascii="Arial" w:hAnsi="Arial"/>
                <w:b/>
                <w:sz w:val="18"/>
              </w:rPr>
            </w:pPr>
          </w:p>
          <w:p w14:paraId="261DE7C1" w14:textId="1C758EC9" w:rsidR="007938CF" w:rsidRPr="004424CF" w:rsidRDefault="007938CF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– </w:t>
            </w:r>
            <w:r w:rsidR="00DC0302">
              <w:rPr>
                <w:rFonts w:ascii="Arial" w:hAnsi="Arial"/>
                <w:b/>
                <w:sz w:val="18"/>
              </w:rPr>
              <w:t>Production Technology</w:t>
            </w:r>
          </w:p>
        </w:tc>
      </w:tr>
      <w:tr w:rsidR="00250287" w:rsidRPr="004424CF" w14:paraId="139C4E24" w14:textId="77777777" w:rsidTr="00757999">
        <w:trPr>
          <w:trHeight w:val="728"/>
        </w:trPr>
        <w:tc>
          <w:tcPr>
            <w:tcW w:w="153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36B374E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33553B9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D9B65F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0E36565F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59C37BA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6512C3C5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permitted:</w:t>
            </w:r>
          </w:p>
          <w:p w14:paraId="1BED374F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766F83E6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105 min</w:t>
            </w:r>
          </w:p>
          <w:p w14:paraId="2F240338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40 %</w:t>
            </w:r>
          </w:p>
        </w:tc>
      </w:tr>
      <w:tr w:rsidR="00E81108" w:rsidRPr="00413EA7" w14:paraId="0A01915F" w14:textId="77777777" w:rsidTr="00757999">
        <w:trPr>
          <w:trHeight w:val="1583"/>
        </w:trPr>
        <w:tc>
          <w:tcPr>
            <w:tcW w:w="1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E6E89E6" w14:textId="1D91BA6E" w:rsidR="00E81108" w:rsidRDefault="00E81108" w:rsidP="004D06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– Execution</w:t>
            </w:r>
            <w:r w:rsidR="007938CF">
              <w:rPr>
                <w:rFonts w:ascii="Arial" w:hAnsi="Arial"/>
                <w:b/>
                <w:sz w:val="18"/>
              </w:rPr>
              <w:t xml:space="preserve"> including technical discussion</w:t>
            </w:r>
          </w:p>
          <w:p w14:paraId="21AD400E" w14:textId="3A92AB82" w:rsidR="00A12866" w:rsidRPr="004424CF" w:rsidRDefault="008A2A67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allotted</w:t>
            </w:r>
            <w:r w:rsidR="00A12866">
              <w:rPr>
                <w:rFonts w:ascii="Arial" w:hAnsi="Arial"/>
                <w:sz w:val="18"/>
              </w:rPr>
              <w:t>:</w:t>
            </w:r>
          </w:p>
          <w:p w14:paraId="0E7F2A89" w14:textId="2D43C181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F8F8E41" w14:textId="323A757B" w:rsidR="00A12866" w:rsidRDefault="00757999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85 </w:t>
            </w:r>
            <w:r w:rsidR="00A12866">
              <w:rPr>
                <w:rFonts w:ascii="Arial" w:hAnsi="Arial"/>
                <w:sz w:val="18"/>
              </w:rPr>
              <w:t>%</w:t>
            </w:r>
          </w:p>
          <w:p w14:paraId="01512E35" w14:textId="7AC5EA42" w:rsidR="00E81108" w:rsidRPr="004424CF" w:rsidRDefault="008A2A67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="00757999">
              <w:rPr>
                <w:rFonts w:ascii="Arial" w:hAnsi="Arial"/>
                <w:sz w:val="18"/>
              </w:rPr>
              <w:t>.5</w:t>
            </w:r>
            <w:r w:rsidR="00E81108">
              <w:rPr>
                <w:rFonts w:ascii="Arial" w:hAnsi="Arial"/>
                <w:sz w:val="18"/>
              </w:rPr>
              <w:t xml:space="preserve"> h</w:t>
            </w: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2664B85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496C03DC" w14:textId="56587EDC" w:rsidR="00AF1ADC" w:rsidRDefault="00757999" w:rsidP="004D06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z w:val="18"/>
              </w:rPr>
              <w:t xml:space="preserve"> Planning</w:t>
            </w:r>
            <w:r w:rsidR="00C21AC2">
              <w:rPr>
                <w:rFonts w:ascii="Arial" w:hAnsi="Arial"/>
                <w:b/>
                <w:sz w:val="18"/>
              </w:rPr>
              <w:t>*</w:t>
            </w:r>
          </w:p>
          <w:p w14:paraId="3FC81AFA" w14:textId="04BEB94B" w:rsidR="00C21AC2" w:rsidRPr="00C21AC2" w:rsidRDefault="00C21AC2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 allotted:</w:t>
            </w:r>
          </w:p>
          <w:p w14:paraId="624C9045" w14:textId="77777777" w:rsidR="00C21AC2" w:rsidRDefault="00C21AC2" w:rsidP="004D0670">
            <w:pPr>
              <w:rPr>
                <w:rFonts w:ascii="Arial" w:hAnsi="Arial"/>
                <w:b/>
                <w:sz w:val="18"/>
              </w:rPr>
            </w:pPr>
          </w:p>
          <w:p w14:paraId="4FDCEC65" w14:textId="0F26E5DA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Execution of the practical task</w:t>
            </w:r>
            <w:r w:rsidR="00DC0302">
              <w:rPr>
                <w:rFonts w:ascii="Arial" w:hAnsi="Arial"/>
                <w:b/>
                <w:sz w:val="18"/>
              </w:rPr>
              <w:t xml:space="preserve"> Phase 2</w:t>
            </w:r>
            <w:r w:rsidR="00757999">
              <w:rPr>
                <w:rFonts w:ascii="Arial" w:hAnsi="Arial"/>
                <w:b/>
                <w:sz w:val="18"/>
              </w:rPr>
              <w:t xml:space="preserve"> with inspection</w:t>
            </w:r>
          </w:p>
          <w:p w14:paraId="45F8A7CA" w14:textId="7D248562" w:rsidR="00E81108" w:rsidRDefault="00E81108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Time </w:t>
            </w:r>
            <w:r w:rsidR="008A2A67">
              <w:rPr>
                <w:rFonts w:ascii="Arial" w:hAnsi="Arial"/>
                <w:sz w:val="18"/>
              </w:rPr>
              <w:t>allotted</w:t>
            </w:r>
            <w:r>
              <w:rPr>
                <w:rFonts w:ascii="Arial" w:hAnsi="Arial"/>
                <w:sz w:val="18"/>
              </w:rPr>
              <w:t>:</w:t>
            </w:r>
          </w:p>
          <w:p w14:paraId="6965BC33" w14:textId="5547FE6E" w:rsidR="008A2A67" w:rsidRPr="004424CF" w:rsidRDefault="008A2A67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385522" w14:textId="77777777" w:rsidR="00C21AC2" w:rsidRDefault="00C21AC2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20%</w:t>
            </w:r>
          </w:p>
          <w:p w14:paraId="5F40050F" w14:textId="219EABFA" w:rsidR="00757999" w:rsidRDefault="00C21AC2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 min</w:t>
            </w:r>
          </w:p>
          <w:p w14:paraId="78434707" w14:textId="4808DF76" w:rsidR="00C21AC2" w:rsidRDefault="00C21AC2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17719EE4" w14:textId="77777777" w:rsidR="00C21AC2" w:rsidRDefault="00C21AC2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7EF1E4BD" w14:textId="2B2652CD" w:rsidR="00AF1ADC" w:rsidRDefault="00757999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40 %</w:t>
            </w:r>
          </w:p>
          <w:p w14:paraId="2BE0FFB0" w14:textId="508595F9" w:rsidR="008A2A67" w:rsidRDefault="00757999" w:rsidP="007579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5.5 </w:t>
            </w:r>
            <w:r w:rsidR="00E81108">
              <w:rPr>
                <w:rFonts w:ascii="Arial" w:hAnsi="Arial"/>
                <w:sz w:val="18"/>
              </w:rPr>
              <w:t>h</w:t>
            </w:r>
            <w:r w:rsidR="00195DB4">
              <w:rPr>
                <w:rFonts w:ascii="Arial" w:hAnsi="Arial"/>
                <w:sz w:val="18"/>
              </w:rPr>
              <w:t xml:space="preserve"> </w:t>
            </w:r>
          </w:p>
          <w:p w14:paraId="20E11C4D" w14:textId="6F3DAB49" w:rsidR="00E81108" w:rsidRPr="004424CF" w:rsidRDefault="00195DB4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at exam site</w:t>
            </w: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7077057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Part A (50%):</w:t>
            </w:r>
          </w:p>
          <w:p w14:paraId="736DA68C" w14:textId="19877694" w:rsidR="00E81108" w:rsidRDefault="00E81108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28 </w:t>
            </w:r>
            <w:r w:rsidR="00205087">
              <w:rPr>
                <w:rFonts w:ascii="Arial" w:hAnsi="Arial"/>
                <w:sz w:val="18"/>
              </w:rPr>
              <w:t>multiple choice</w:t>
            </w:r>
            <w:r w:rsidR="00250287">
              <w:rPr>
                <w:rFonts w:ascii="Arial" w:hAnsi="Arial"/>
                <w:sz w:val="18"/>
              </w:rPr>
              <w:t xml:space="preserve"> questions –</w:t>
            </w:r>
            <w:r>
              <w:rPr>
                <w:rFonts w:ascii="Arial" w:hAnsi="Arial"/>
                <w:sz w:val="18"/>
              </w:rPr>
              <w:t xml:space="preserve"> 3 of which can be deselected</w:t>
            </w:r>
          </w:p>
          <w:p w14:paraId="7CDCDCD6" w14:textId="0B4A0ED0" w:rsidR="001B07BB" w:rsidRPr="004424CF" w:rsidRDefault="001B07BB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 of which cannot be deselected</w:t>
            </w:r>
          </w:p>
          <w:p w14:paraId="509B4D42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EFB550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Part B (50%):</w:t>
            </w:r>
          </w:p>
          <w:p w14:paraId="370BC42F" w14:textId="4A6CE0A6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8 </w:t>
            </w:r>
            <w:r w:rsidR="00D35C5E">
              <w:rPr>
                <w:rFonts w:ascii="Arial" w:hAnsi="Arial"/>
                <w:sz w:val="18"/>
              </w:rPr>
              <w:t>short answer</w:t>
            </w:r>
            <w:r w:rsidR="00250287">
              <w:rPr>
                <w:rFonts w:ascii="Arial" w:hAnsi="Arial"/>
                <w:sz w:val="18"/>
              </w:rPr>
              <w:t xml:space="preserve"> questions</w:t>
            </w:r>
          </w:p>
          <w:p w14:paraId="59721E4F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 deselection possible</w:t>
            </w:r>
          </w:p>
        </w:tc>
      </w:tr>
      <w:tr w:rsidR="00E81108" w:rsidRPr="004424CF" w14:paraId="4E4B7353" w14:textId="77777777" w:rsidTr="00757999">
        <w:trPr>
          <w:trHeight w:val="966"/>
        </w:trPr>
        <w:tc>
          <w:tcPr>
            <w:tcW w:w="1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6ADABA5" w14:textId="77777777" w:rsidR="00105F58" w:rsidRDefault="00105F58" w:rsidP="00105F5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– Inspection</w:t>
            </w:r>
          </w:p>
          <w:p w14:paraId="6F9E97A7" w14:textId="77777777" w:rsidR="00105F58" w:rsidRPr="004424CF" w:rsidRDefault="00105F58" w:rsidP="00105F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  <w:p w14:paraId="6DFD5E4D" w14:textId="322CE325" w:rsidR="00E81108" w:rsidRPr="004424CF" w:rsidRDefault="00105F58" w:rsidP="00105F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allotted: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EA0F3FB" w14:textId="77777777" w:rsidR="00105F58" w:rsidRDefault="00105F58" w:rsidP="00105F58">
            <w:pPr>
              <w:jc w:val="right"/>
              <w:rPr>
                <w:rFonts w:ascii="Arial" w:hAnsi="Arial"/>
                <w:sz w:val="18"/>
              </w:rPr>
            </w:pPr>
          </w:p>
          <w:p w14:paraId="6A0E3C97" w14:textId="77777777" w:rsidR="00105F58" w:rsidRDefault="00105F58" w:rsidP="00105F58">
            <w:pPr>
              <w:jc w:val="right"/>
              <w:rPr>
                <w:rFonts w:ascii="Arial" w:hAnsi="Arial"/>
                <w:sz w:val="18"/>
              </w:rPr>
            </w:pPr>
          </w:p>
          <w:p w14:paraId="79CF9C3C" w14:textId="5FBCD397" w:rsidR="00105F58" w:rsidRDefault="00105F58" w:rsidP="00105F58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10 %</w:t>
            </w:r>
          </w:p>
          <w:p w14:paraId="2CA99F23" w14:textId="6697CFA2" w:rsidR="00105F58" w:rsidRDefault="00105F58" w:rsidP="00105F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in execution</w:t>
            </w:r>
          </w:p>
          <w:p w14:paraId="239DA25F" w14:textId="35194BD1" w:rsidR="00E81108" w:rsidRPr="004424CF" w:rsidRDefault="00E81108" w:rsidP="00105F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 w:themeFill="accent1" w:themeFillTint="33"/>
          </w:tcPr>
          <w:p w14:paraId="716AD0CE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7977C8F2" w14:textId="77777777" w:rsidR="00C21AC2" w:rsidRPr="004424CF" w:rsidRDefault="00C21AC2" w:rsidP="00C21A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Including </w:t>
            </w:r>
            <w:r>
              <w:rPr>
                <w:rFonts w:ascii="Arial" w:hAnsi="Arial"/>
                <w:b/>
                <w:sz w:val="18"/>
              </w:rPr>
              <w:t>observations and technical discussions</w:t>
            </w:r>
          </w:p>
          <w:p w14:paraId="29D954D1" w14:textId="0364F2DD" w:rsidR="00AF1ADC" w:rsidRDefault="00C21AC2" w:rsidP="00C21A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 allotted:</w:t>
            </w:r>
          </w:p>
          <w:p w14:paraId="7EBB37DC" w14:textId="3DF84B91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F5AF9B7" w14:textId="77777777" w:rsidR="00AF1ADC" w:rsidRDefault="00AF1ADC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56D35752" w14:textId="77777777" w:rsidR="00AF1ADC" w:rsidRDefault="00AF1ADC" w:rsidP="00C21AC2">
            <w:pPr>
              <w:rPr>
                <w:rFonts w:ascii="Arial" w:hAnsi="Arial"/>
                <w:sz w:val="18"/>
              </w:rPr>
            </w:pPr>
          </w:p>
          <w:p w14:paraId="04C9D6D5" w14:textId="52A46A88" w:rsidR="00AF1ADC" w:rsidRDefault="00757999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40 %</w:t>
            </w:r>
          </w:p>
          <w:p w14:paraId="0BEEB0F9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 min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F07EE3D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8CF" w:rsidRPr="004424CF" w14:paraId="42E96862" w14:textId="77777777" w:rsidTr="004C61E5">
        <w:trPr>
          <w:trHeight w:val="334"/>
        </w:trPr>
        <w:tc>
          <w:tcPr>
            <w:tcW w:w="266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F9416D6" w14:textId="77777777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10"/>
            </w:tblGrid>
            <w:tr w:rsidR="007938CF" w:rsidRPr="00413EA7" w14:paraId="17E97D87" w14:textId="77777777" w:rsidTr="00F56077">
              <w:trPr>
                <w:trHeight w:val="2488"/>
              </w:trPr>
              <w:tc>
                <w:tcPr>
                  <w:tcW w:w="2410" w:type="dxa"/>
                  <w:shd w:val="clear" w:color="auto" w:fill="D9E2F3" w:themeFill="accent1" w:themeFillTint="33"/>
                </w:tcPr>
                <w:p w14:paraId="2F3CE7DC" w14:textId="77777777" w:rsidR="007938CF" w:rsidRPr="004424CF" w:rsidRDefault="007938CF" w:rsidP="004D067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Professional, situation-based discussions</w:t>
                  </w:r>
                </w:p>
                <w:p w14:paraId="4E97ADC6" w14:textId="77777777" w:rsidR="007938CF" w:rsidRPr="004424CF" w:rsidRDefault="007938CF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F27061" w14:textId="77777777" w:rsidR="007938CF" w:rsidRDefault="007938CF" w:rsidP="004D0670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Weighting:              5 %</w:t>
                  </w:r>
                </w:p>
                <w:p w14:paraId="0ECDFEDA" w14:textId="77777777" w:rsidR="007938CF" w:rsidRPr="004424CF" w:rsidRDefault="007938CF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Time permitted:</w:t>
                  </w:r>
                  <w:r>
                    <w:tab/>
                  </w:r>
                  <w:r>
                    <w:rPr>
                      <w:rFonts w:ascii="Arial" w:hAnsi="Arial"/>
                      <w:sz w:val="18"/>
                    </w:rPr>
                    <w:t>10 min</w:t>
                  </w:r>
                </w:p>
                <w:p w14:paraId="0FB69ADC" w14:textId="77777777" w:rsidR="007938CF" w:rsidRPr="004424CF" w:rsidRDefault="007938CF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B5F9D18" w14:textId="77777777" w:rsidR="007938CF" w:rsidRPr="004424CF" w:rsidRDefault="007938CF" w:rsidP="004D0670">
                  <w:pPr>
                    <w:pStyle w:val="ListParagraph"/>
                    <w:numPr>
                      <w:ilvl w:val="0"/>
                      <w:numId w:val="1"/>
                    </w:numPr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The duration of the discussions is included in the examination time.</w:t>
                  </w:r>
                </w:p>
                <w:p w14:paraId="4E1AA43E" w14:textId="6EF9CDF8" w:rsidR="007938CF" w:rsidRPr="004424CF" w:rsidRDefault="007938CF" w:rsidP="004D0670">
                  <w:pPr>
                    <w:pStyle w:val="ListParagraph"/>
                    <w:numPr>
                      <w:ilvl w:val="0"/>
                      <w:numId w:val="1"/>
                    </w:numPr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The discussions can last up to 10 min within the scope of the examination and can be held continuously or in stages.</w:t>
                  </w:r>
                </w:p>
                <w:p w14:paraId="6F1BC88B" w14:textId="77777777" w:rsidR="007938CF" w:rsidRPr="004424CF" w:rsidRDefault="007938CF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3814F6C" w14:textId="77777777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0E8F5" w14:textId="77777777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5C942" w14:textId="6682EFD1" w:rsidR="007938CF" w:rsidRPr="004424CF" w:rsidRDefault="00105F5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*30 min of conversion time is allowed for Part 1 apprentices</w:t>
            </w:r>
            <w:r w:rsidR="00757999">
              <w:rPr>
                <w:rFonts w:ascii="Arial" w:hAnsi="Arial"/>
                <w:sz w:val="18"/>
              </w:rPr>
              <w:t xml:space="preserve"> before the start of the practical exam</w:t>
            </w:r>
            <w:r w:rsidR="007938CF">
              <w:rPr>
                <w:rFonts w:ascii="Arial" w:hAnsi="Arial"/>
                <w:sz w:val="18"/>
              </w:rPr>
              <w:t>.</w:t>
            </w:r>
            <w:r w:rsidR="00757999">
              <w:rPr>
                <w:rFonts w:ascii="Arial" w:hAnsi="Arial"/>
                <w:sz w:val="18"/>
              </w:rPr>
              <w:t xml:space="preserve"> No work may begin during this time. Conversion and planning only. </w:t>
            </w:r>
            <w:r w:rsidR="007938CF">
              <w:rPr>
                <w:rFonts w:ascii="Arial" w:hAnsi="Arial"/>
                <w:sz w:val="18"/>
              </w:rPr>
              <w:t xml:space="preserve"> </w:t>
            </w:r>
          </w:p>
          <w:p w14:paraId="1E86C30B" w14:textId="77777777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2F53D36" w14:textId="77777777" w:rsidR="007938CF" w:rsidRPr="00641800" w:rsidRDefault="007938CF" w:rsidP="004D0670">
            <w:pPr>
              <w:rPr>
                <w:sz w:val="18"/>
                <w:szCs w:val="18"/>
              </w:rPr>
            </w:pPr>
          </w:p>
          <w:p w14:paraId="053A0DA6" w14:textId="77777777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61"/>
            </w:tblGrid>
            <w:tr w:rsidR="00C21AC2" w:rsidRPr="00413EA7" w14:paraId="776DFFE4" w14:textId="77777777" w:rsidTr="00C21AC2">
              <w:trPr>
                <w:trHeight w:val="2433"/>
              </w:trPr>
              <w:tc>
                <w:tcPr>
                  <w:tcW w:w="2461" w:type="dxa"/>
                </w:tcPr>
                <w:p w14:paraId="36A139CA" w14:textId="77777777" w:rsidR="00C21AC2" w:rsidRPr="004424CF" w:rsidRDefault="00C21AC2" w:rsidP="00C21A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232CB87" w14:textId="77777777" w:rsidR="00C21AC2" w:rsidRPr="004424CF" w:rsidRDefault="00C21AC2" w:rsidP="00C21A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The practical task is assessed by means of:</w:t>
                  </w:r>
                </w:p>
                <w:p w14:paraId="51B6EF61" w14:textId="77777777" w:rsidR="00C21AC2" w:rsidRPr="004424CF" w:rsidRDefault="00C21AC2" w:rsidP="00C21A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20A474F" w14:textId="77777777" w:rsidR="00C21AC2" w:rsidRPr="00C21AC2" w:rsidRDefault="00C21AC2" w:rsidP="00C21AC2">
                  <w:pPr>
                    <w:ind w:left="287" w:hanging="287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</w:t>
                  </w:r>
                  <w:r>
                    <w:tab/>
                  </w:r>
                  <w:r>
                    <w:rPr>
                      <w:rFonts w:ascii="Arial" w:hAnsi="Arial"/>
                      <w:sz w:val="18"/>
                    </w:rPr>
                    <w:t>product</w:t>
                  </w:r>
                </w:p>
                <w:p w14:paraId="0F5E9132" w14:textId="77777777" w:rsidR="00C21AC2" w:rsidRDefault="00C21AC2" w:rsidP="00C21AC2">
                  <w:pPr>
                    <w:ind w:left="287" w:hanging="287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</w:t>
                  </w:r>
                  <w:r>
                    <w:tab/>
                  </w:r>
                  <w:r>
                    <w:rPr>
                      <w:rFonts w:ascii="Arial" w:hAnsi="Arial"/>
                      <w:sz w:val="18"/>
                    </w:rPr>
                    <w:t>Inspection</w:t>
                  </w:r>
                </w:p>
                <w:p w14:paraId="39F4E96E" w14:textId="77777777" w:rsidR="00C21AC2" w:rsidRPr="00C21AC2" w:rsidRDefault="00C21AC2" w:rsidP="00C21AC2">
                  <w:pPr>
                    <w:pStyle w:val="ListParagraph"/>
                    <w:numPr>
                      <w:ilvl w:val="0"/>
                      <w:numId w:val="4"/>
                    </w:numPr>
                    <w:ind w:left="280" w:hanging="27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technical</w:t>
                  </w:r>
                  <w:r w:rsidRPr="00C21AC2">
                    <w:rPr>
                      <w:rFonts w:ascii="Arial" w:hAnsi="Arial"/>
                      <w:sz w:val="18"/>
                    </w:rPr>
                    <w:t xml:space="preserve"> discussions </w:t>
                  </w:r>
                </w:p>
                <w:p w14:paraId="03ABF8A2" w14:textId="77777777" w:rsidR="00C21AC2" w:rsidRPr="004424CF" w:rsidRDefault="00C21AC2" w:rsidP="00C21AC2">
                  <w:pPr>
                    <w:ind w:left="287" w:hanging="28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</w:t>
                  </w:r>
                  <w:r>
                    <w:tab/>
                  </w:r>
                  <w:r>
                    <w:rPr>
                      <w:rFonts w:ascii="Arial" w:hAnsi="Arial"/>
                      <w:sz w:val="18"/>
                    </w:rPr>
                    <w:t>Observations by the board of examiners</w:t>
                  </w:r>
                </w:p>
              </w:tc>
            </w:tr>
          </w:tbl>
          <w:p w14:paraId="1F2A424B" w14:textId="77777777" w:rsidR="007938CF" w:rsidRPr="00641800" w:rsidRDefault="007938CF" w:rsidP="004D0670">
            <w:pPr>
              <w:rPr>
                <w:sz w:val="18"/>
                <w:szCs w:val="18"/>
              </w:rPr>
            </w:pPr>
          </w:p>
          <w:p w14:paraId="1388531B" w14:textId="2DEF2B03" w:rsidR="00C21AC2" w:rsidRDefault="00C21AC2" w:rsidP="00C21A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*The planning phase takes place after the written assignments</w:t>
            </w:r>
            <w:r>
              <w:rPr>
                <w:rFonts w:ascii="Arial" w:hAnsi="Arial"/>
                <w:sz w:val="18"/>
              </w:rPr>
              <w:t xml:space="preserve"> or before the practical exam</w:t>
            </w:r>
            <w:r>
              <w:rPr>
                <w:rFonts w:ascii="Arial" w:hAnsi="Arial"/>
                <w:sz w:val="18"/>
              </w:rPr>
              <w:t>. If the planning time</w:t>
            </w:r>
            <w:r>
              <w:rPr>
                <w:rFonts w:ascii="Arial" w:hAnsi="Arial"/>
                <w:sz w:val="18"/>
              </w:rPr>
              <w:t xml:space="preserve"> of 30 min</w:t>
            </w:r>
            <w:r>
              <w:rPr>
                <w:rFonts w:ascii="Arial" w:hAnsi="Arial"/>
                <w:sz w:val="18"/>
              </w:rPr>
              <w:t xml:space="preserve"> is exceeded or not used in full, the relevant deviation is compensated for in the execution and review phases to ensure that the total permitted time </w:t>
            </w:r>
            <w:r>
              <w:rPr>
                <w:rFonts w:ascii="Arial" w:hAnsi="Arial"/>
                <w:sz w:val="18"/>
              </w:rPr>
              <w:t xml:space="preserve">for the exam does not </w:t>
            </w:r>
            <w:r>
              <w:rPr>
                <w:rFonts w:ascii="Arial" w:hAnsi="Arial"/>
                <w:sz w:val="18"/>
              </w:rPr>
              <w:t>exceeded</w:t>
            </w:r>
            <w:r>
              <w:rPr>
                <w:rFonts w:ascii="Arial" w:hAnsi="Arial"/>
                <w:sz w:val="18"/>
              </w:rPr>
              <w:t xml:space="preserve"> 6 h.</w:t>
            </w:r>
          </w:p>
          <w:p w14:paraId="6CF0CC07" w14:textId="1D187078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5665AA09" w14:textId="77777777" w:rsidR="007938CF" w:rsidRDefault="007938CF" w:rsidP="004D0670">
            <w:pPr>
              <w:rPr>
                <w:rFonts w:ascii="Arial" w:hAnsi="Arial"/>
                <w:b/>
                <w:sz w:val="18"/>
              </w:rPr>
            </w:pPr>
          </w:p>
          <w:p w14:paraId="1762C342" w14:textId="1538EFCB" w:rsidR="007938CF" w:rsidRPr="004424CF" w:rsidRDefault="007938CF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Task and Functional analysis</w:t>
            </w:r>
          </w:p>
        </w:tc>
      </w:tr>
      <w:tr w:rsidR="00E81108" w:rsidRPr="004424CF" w14:paraId="2D2DF738" w14:textId="77777777" w:rsidTr="00EC72EA">
        <w:trPr>
          <w:trHeight w:val="334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F56544B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DEC68CE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17DA370" w14:textId="77777777" w:rsidR="00E81108" w:rsidRPr="004424CF" w:rsidRDefault="00E81108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7BF40295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permitted:</w:t>
            </w:r>
          </w:p>
          <w:p w14:paraId="5B141AEB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D598EE7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105 min</w:t>
            </w:r>
          </w:p>
          <w:p w14:paraId="5FCBEC1D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40 %</w:t>
            </w:r>
          </w:p>
        </w:tc>
      </w:tr>
      <w:tr w:rsidR="00E81108" w:rsidRPr="00413EA7" w14:paraId="14F70AB8" w14:textId="77777777" w:rsidTr="00EC72EA">
        <w:trPr>
          <w:trHeight w:val="2056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771DB49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5F66559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89ADB68" w14:textId="77777777" w:rsidR="00E81108" w:rsidRPr="004424CF" w:rsidRDefault="00E81108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7DFD09E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Part A (50%):</w:t>
            </w:r>
          </w:p>
          <w:p w14:paraId="3052FAD7" w14:textId="76A19388" w:rsidR="00E81108" w:rsidRDefault="00E81108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28 </w:t>
            </w:r>
            <w:r w:rsidR="00D35C5E">
              <w:rPr>
                <w:rFonts w:ascii="Arial" w:hAnsi="Arial"/>
                <w:sz w:val="18"/>
              </w:rPr>
              <w:t xml:space="preserve">multiple choice </w:t>
            </w:r>
            <w:r w:rsidR="00250287">
              <w:rPr>
                <w:rFonts w:ascii="Arial" w:hAnsi="Arial"/>
                <w:sz w:val="18"/>
              </w:rPr>
              <w:t>questions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</w:rPr>
              <w:t>3 of which can be deselected</w:t>
            </w:r>
          </w:p>
          <w:p w14:paraId="2FA5C10B" w14:textId="01EF88F8" w:rsidR="00516DE1" w:rsidRPr="004424CF" w:rsidRDefault="00516DE1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 of which cannot be deselected</w:t>
            </w:r>
          </w:p>
          <w:p w14:paraId="7A6DE1D8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7E1035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Part B (50%):</w:t>
            </w:r>
          </w:p>
          <w:p w14:paraId="53409B18" w14:textId="6177D602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8 </w:t>
            </w:r>
            <w:r w:rsidR="00D35C5E">
              <w:rPr>
                <w:rFonts w:ascii="Arial" w:hAnsi="Arial"/>
                <w:sz w:val="18"/>
              </w:rPr>
              <w:t xml:space="preserve">short answer </w:t>
            </w:r>
            <w:r w:rsidR="00250287">
              <w:rPr>
                <w:rFonts w:ascii="Arial" w:hAnsi="Arial"/>
                <w:sz w:val="18"/>
              </w:rPr>
              <w:t>questions</w:t>
            </w:r>
          </w:p>
          <w:p w14:paraId="708AB963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 deselection possible</w:t>
            </w:r>
          </w:p>
        </w:tc>
      </w:tr>
      <w:tr w:rsidR="007938CF" w:rsidRPr="004424CF" w14:paraId="7FDD268A" w14:textId="77777777" w:rsidTr="004155A3">
        <w:trPr>
          <w:trHeight w:val="617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4630324" w14:textId="77777777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57C752A" w14:textId="77777777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A7941D" w14:textId="77777777" w:rsidR="007938CF" w:rsidRPr="004424CF" w:rsidRDefault="007938CF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1CDBF59D" w14:textId="77777777" w:rsidR="007938CF" w:rsidRDefault="007938CF" w:rsidP="004D0670">
            <w:pPr>
              <w:rPr>
                <w:rFonts w:ascii="Arial" w:hAnsi="Arial"/>
                <w:b/>
                <w:sz w:val="18"/>
              </w:rPr>
            </w:pPr>
          </w:p>
          <w:p w14:paraId="6846D16D" w14:textId="3D6A3CA3" w:rsidR="007938CF" w:rsidRPr="004424CF" w:rsidRDefault="007938CF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OSHA and Workers Rights</w:t>
            </w:r>
          </w:p>
        </w:tc>
      </w:tr>
      <w:tr w:rsidR="00E81108" w:rsidRPr="004424CF" w14:paraId="64EA4298" w14:textId="77777777" w:rsidTr="00EC72EA">
        <w:trPr>
          <w:trHeight w:val="616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1C78E3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95686EF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783834D" w14:textId="77777777" w:rsidR="00E81108" w:rsidRPr="004424CF" w:rsidRDefault="00E81108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5B50D9D8" w14:textId="77777777" w:rsidR="00AF1ADC" w:rsidRDefault="00AF1ADC" w:rsidP="004D0670">
            <w:pPr>
              <w:rPr>
                <w:rFonts w:ascii="Arial" w:hAnsi="Arial"/>
                <w:sz w:val="18"/>
              </w:rPr>
            </w:pPr>
          </w:p>
          <w:p w14:paraId="47C20823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permitted:</w:t>
            </w:r>
          </w:p>
          <w:p w14:paraId="79BF0A4B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30FAC872" w14:textId="77777777" w:rsidR="00AF1ADC" w:rsidRDefault="00A12866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1FE89828" w14:textId="1A663470" w:rsidR="00E81108" w:rsidRPr="004424CF" w:rsidRDefault="00AF1ADC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  <w:r w:rsidR="00A12866">
              <w:rPr>
                <w:rFonts w:ascii="Arial" w:hAnsi="Arial"/>
                <w:sz w:val="18"/>
              </w:rPr>
              <w:t xml:space="preserve"> </w:t>
            </w:r>
            <w:r w:rsidR="001B07BB">
              <w:rPr>
                <w:rFonts w:ascii="Arial" w:hAnsi="Arial"/>
                <w:sz w:val="18"/>
              </w:rPr>
              <w:t>45</w:t>
            </w:r>
            <w:r w:rsidR="00E81108">
              <w:rPr>
                <w:rFonts w:ascii="Arial" w:hAnsi="Arial"/>
                <w:sz w:val="18"/>
              </w:rPr>
              <w:t xml:space="preserve"> min</w:t>
            </w:r>
          </w:p>
          <w:p w14:paraId="3921E8BC" w14:textId="77777777" w:rsidR="00E81108" w:rsidRPr="004424CF" w:rsidRDefault="00A12866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  <w:r w:rsidR="00E81108">
              <w:rPr>
                <w:rFonts w:ascii="Arial" w:hAnsi="Arial"/>
                <w:sz w:val="18"/>
              </w:rPr>
              <w:t>20 %</w:t>
            </w:r>
          </w:p>
        </w:tc>
      </w:tr>
      <w:tr w:rsidR="00E81108" w:rsidRPr="004424CF" w14:paraId="7DCFE51D" w14:textId="77777777" w:rsidTr="00EC72EA">
        <w:trPr>
          <w:trHeight w:val="1578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A09BA4E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23D0A31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ABCDB0E" w14:textId="77777777" w:rsidR="00E81108" w:rsidRPr="004424CF" w:rsidRDefault="00E81108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A2C9F72" w14:textId="77777777" w:rsidR="00AF1ADC" w:rsidRDefault="00AF1ADC" w:rsidP="004D0670">
            <w:pPr>
              <w:rPr>
                <w:rFonts w:ascii="Arial" w:hAnsi="Arial"/>
                <w:sz w:val="18"/>
              </w:rPr>
            </w:pPr>
          </w:p>
          <w:p w14:paraId="4CEDBFD1" w14:textId="32B007B8" w:rsidR="00E81108" w:rsidRPr="004424CF" w:rsidRDefault="00205087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  <w:r w:rsidR="00E81108">
              <w:rPr>
                <w:rFonts w:ascii="Arial" w:hAnsi="Arial"/>
                <w:sz w:val="18"/>
              </w:rPr>
              <w:t xml:space="preserve"> </w:t>
            </w:r>
            <w:r w:rsidR="00516DE1">
              <w:rPr>
                <w:rFonts w:ascii="Arial" w:hAnsi="Arial"/>
                <w:sz w:val="18"/>
              </w:rPr>
              <w:t>multiple choice</w:t>
            </w:r>
            <w:r w:rsidR="00250287">
              <w:rPr>
                <w:rFonts w:ascii="Arial" w:hAnsi="Arial"/>
                <w:sz w:val="18"/>
              </w:rPr>
              <w:t xml:space="preserve"> questions</w:t>
            </w:r>
          </w:p>
          <w:p w14:paraId="57E481E0" w14:textId="542798AA" w:rsidR="00E81108" w:rsidRPr="004424CF" w:rsidRDefault="00205087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E81108">
              <w:rPr>
                <w:rFonts w:ascii="Arial" w:hAnsi="Arial"/>
                <w:sz w:val="18"/>
              </w:rPr>
              <w:t xml:space="preserve"> of which can be deselected</w:t>
            </w:r>
          </w:p>
          <w:p w14:paraId="74575D1E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C3392" w14:textId="6FDEC437" w:rsidR="00E81108" w:rsidRPr="004424CF" w:rsidRDefault="00205087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="00E81108">
              <w:rPr>
                <w:rFonts w:ascii="Arial" w:hAnsi="Arial"/>
                <w:sz w:val="18"/>
              </w:rPr>
              <w:t xml:space="preserve"> </w:t>
            </w:r>
            <w:r w:rsidR="00250287">
              <w:rPr>
                <w:rFonts w:ascii="Arial" w:hAnsi="Arial"/>
                <w:sz w:val="18"/>
              </w:rPr>
              <w:t>s</w:t>
            </w:r>
            <w:r w:rsidR="00516DE1">
              <w:rPr>
                <w:rFonts w:ascii="Arial" w:hAnsi="Arial"/>
                <w:sz w:val="18"/>
              </w:rPr>
              <w:t>hort answer</w:t>
            </w:r>
            <w:r w:rsidR="00250287">
              <w:rPr>
                <w:rFonts w:ascii="Arial" w:hAnsi="Arial"/>
                <w:sz w:val="18"/>
              </w:rPr>
              <w:t xml:space="preserve"> questions</w:t>
            </w:r>
          </w:p>
          <w:p w14:paraId="417342A1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 of which can be deselected</w:t>
            </w:r>
          </w:p>
        </w:tc>
      </w:tr>
    </w:tbl>
    <w:p w14:paraId="2B958671" w14:textId="51412B89" w:rsidR="00826283" w:rsidRDefault="00826283" w:rsidP="0054231B">
      <w:bookmarkStart w:id="0" w:name="_GoBack"/>
      <w:bookmarkEnd w:id="0"/>
    </w:p>
    <w:sectPr w:rsidR="00826283" w:rsidSect="00AF1AD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26839"/>
    <w:multiLevelType w:val="hybridMultilevel"/>
    <w:tmpl w:val="51BADB18"/>
    <w:lvl w:ilvl="0" w:tplc="C3C4E64E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4E01"/>
    <w:multiLevelType w:val="hybridMultilevel"/>
    <w:tmpl w:val="71D4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E0E31"/>
    <w:multiLevelType w:val="hybridMultilevel"/>
    <w:tmpl w:val="55DE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F3C49"/>
    <w:multiLevelType w:val="hybridMultilevel"/>
    <w:tmpl w:val="4FBC3686"/>
    <w:lvl w:ilvl="0" w:tplc="E4B0C83C">
      <w:start w:val="10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08"/>
    <w:rsid w:val="00020243"/>
    <w:rsid w:val="00105F58"/>
    <w:rsid w:val="00195DB4"/>
    <w:rsid w:val="001B07BB"/>
    <w:rsid w:val="00205087"/>
    <w:rsid w:val="00250287"/>
    <w:rsid w:val="00516DE1"/>
    <w:rsid w:val="0054231B"/>
    <w:rsid w:val="00740ABF"/>
    <w:rsid w:val="00757999"/>
    <w:rsid w:val="007938CF"/>
    <w:rsid w:val="00826283"/>
    <w:rsid w:val="008304D4"/>
    <w:rsid w:val="008A2A67"/>
    <w:rsid w:val="00A12866"/>
    <w:rsid w:val="00AF1ADC"/>
    <w:rsid w:val="00B215EF"/>
    <w:rsid w:val="00BC5F62"/>
    <w:rsid w:val="00C21AC2"/>
    <w:rsid w:val="00D35C5E"/>
    <w:rsid w:val="00D54B54"/>
    <w:rsid w:val="00DC0302"/>
    <w:rsid w:val="00E81108"/>
    <w:rsid w:val="00EC72EA"/>
    <w:rsid w:val="00F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E7F2"/>
  <w15:chartTrackingRefBased/>
  <w15:docId w15:val="{27BA7D36-A175-4E14-B16C-669BCD65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1108"/>
    <w:pPr>
      <w:spacing w:after="0" w:line="240" w:lineRule="auto"/>
    </w:pPr>
    <w:rPr>
      <w:rFonts w:ascii="Times New Roman" w:eastAsia="PMingLiU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108"/>
    <w:pPr>
      <w:spacing w:after="0" w:line="240" w:lineRule="auto"/>
    </w:pPr>
    <w:rPr>
      <w:rFonts w:ascii="Times New Roman" w:eastAsia="PMingLiU" w:hAnsi="Times New Roman" w:cs="Times New Roman"/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Kuhn</dc:creator>
  <cp:keywords/>
  <dc:description/>
  <cp:lastModifiedBy>Geneva Scurek</cp:lastModifiedBy>
  <cp:revision>3</cp:revision>
  <dcterms:created xsi:type="dcterms:W3CDTF">2020-01-23T18:59:00Z</dcterms:created>
  <dcterms:modified xsi:type="dcterms:W3CDTF">2020-01-23T18:59:00Z</dcterms:modified>
</cp:coreProperties>
</file>